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28"/>
          <w:lang w:val="en-US" w:eastAsia="zh-CN"/>
        </w:rPr>
        <w:t>2020级MPA学生制定培养计划步骤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登录中国海洋大学信息门户（学号+密码）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361180" cy="4195445"/>
            <wp:effectExtent l="0" t="0" r="1270" b="1460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2.点击并请仔细阅读：培养总则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13275" cy="1966595"/>
            <wp:effectExtent l="0" t="0" r="15875" b="1460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点击选择方向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（选择导师的研究方向并且保存）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63795" cy="2940050"/>
            <wp:effectExtent l="0" t="0" r="8255" b="12700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379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2272030"/>
            <wp:effectExtent l="0" t="0" r="6985" b="1397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66945" cy="2183130"/>
            <wp:effectExtent l="0" t="0" r="14605" b="762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保存研究方向之后，点击“个人培养计划”（下载《研究生培养计划制定规则》并仔细阅读，之后点击“我要制定”）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249805"/>
            <wp:effectExtent l="0" t="0" r="4445" b="1714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点击“我要制定”后，出现如下页面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highlight w:val="yellow"/>
          <w:lang w:val="en-US" w:eastAsia="zh-CN"/>
        </w:rPr>
        <w:t>先不要点击提交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58970" cy="4761230"/>
            <wp:effectExtent l="0" t="0" r="17780" b="1270"/>
            <wp:docPr id="10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8970" cy="47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找到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“其他课程”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，选择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“风险治理与应急管理”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，选择完成后点击“提交”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87775" cy="2783840"/>
            <wp:effectExtent l="0" t="0" r="3175" b="16510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提交后，至此，个人培养计划制定完成。请等待导师及中心审核，审核完成后，中心会发通知再进行选课</w:t>
      </w:r>
      <w:r>
        <w:rPr>
          <w:rFonts w:hint="eastAsia" w:ascii="楷体" w:hAnsi="楷体" w:eastAsia="楷体" w:cs="楷体"/>
          <w:color w:val="FF0000"/>
          <w:sz w:val="28"/>
          <w:szCs w:val="28"/>
          <w:lang w:val="en-US" w:eastAsia="zh-CN"/>
        </w:rPr>
        <w:t>（按照通知，8月1日后进行选课工作）。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07F814"/>
    <w:multiLevelType w:val="singleLevel"/>
    <w:tmpl w:val="FC07F81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B72F1F5"/>
    <w:multiLevelType w:val="singleLevel"/>
    <w:tmpl w:val="2B72F1F5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938EF"/>
    <w:rsid w:val="0169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2020-07-24T03:15:00Z</dcterms:created>
  <dc:creator>pc</dc:creator>
  <cp:lastModifiedBy>pc</cp:lastModifiedBy>
  <dcterms:modified xsi:type="dcterms:W3CDTF">2020-07-24T03:16:53Z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