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19508" w14:textId="77777777" w:rsidR="00535ECD" w:rsidRPr="00AE30ED" w:rsidRDefault="00535ECD">
      <w:pPr>
        <w:rPr>
          <w:color w:val="000000" w:themeColor="text1"/>
        </w:rPr>
      </w:pPr>
    </w:p>
    <w:p w14:paraId="24DED9C4" w14:textId="77777777" w:rsidR="002901AC" w:rsidRPr="00AE30ED" w:rsidRDefault="00535ECD" w:rsidP="002901AC">
      <w:pPr>
        <w:tabs>
          <w:tab w:val="left" w:pos="2123"/>
        </w:tabs>
        <w:jc w:val="center"/>
        <w:rPr>
          <w:rFonts w:ascii="方正小标宋_GBK" w:eastAsia="方正小标宋_GBK"/>
          <w:color w:val="000000" w:themeColor="text1"/>
          <w:sz w:val="36"/>
          <w:szCs w:val="30"/>
        </w:rPr>
      </w:pPr>
      <w:r w:rsidRPr="00AE30ED">
        <w:rPr>
          <w:rFonts w:ascii="方正小标宋_GBK" w:eastAsia="方正小标宋_GBK" w:hint="eastAsia"/>
          <w:color w:val="000000" w:themeColor="text1"/>
          <w:sz w:val="36"/>
          <w:szCs w:val="30"/>
        </w:rPr>
        <w:t>国际事务与公共管理学院案例中心项目培育</w:t>
      </w:r>
    </w:p>
    <w:p w14:paraId="500F2055" w14:textId="40E178AA" w:rsidR="00B51F19" w:rsidRPr="00AE30ED" w:rsidRDefault="00535ECD" w:rsidP="002901AC">
      <w:pPr>
        <w:tabs>
          <w:tab w:val="left" w:pos="2123"/>
        </w:tabs>
        <w:spacing w:afterLines="100" w:after="312"/>
        <w:jc w:val="center"/>
        <w:rPr>
          <w:rFonts w:ascii="方正小标宋_GBK" w:eastAsia="方正小标宋_GBK"/>
          <w:color w:val="000000" w:themeColor="text1"/>
          <w:sz w:val="36"/>
          <w:szCs w:val="30"/>
        </w:rPr>
      </w:pPr>
      <w:r w:rsidRPr="00AE30ED">
        <w:rPr>
          <w:rFonts w:ascii="方正小标宋_GBK" w:eastAsia="方正小标宋_GBK" w:hint="eastAsia"/>
          <w:color w:val="000000" w:themeColor="text1"/>
          <w:sz w:val="36"/>
          <w:szCs w:val="30"/>
        </w:rPr>
        <w:t>与资助</w:t>
      </w:r>
      <w:r w:rsidR="005B1772" w:rsidRPr="00AE30ED">
        <w:rPr>
          <w:rFonts w:ascii="方正小标宋_GBK" w:eastAsia="方正小标宋_GBK" w:hint="eastAsia"/>
          <w:color w:val="000000" w:themeColor="text1"/>
          <w:sz w:val="36"/>
          <w:szCs w:val="30"/>
        </w:rPr>
        <w:t>实施</w:t>
      </w:r>
      <w:r w:rsidRPr="00AE30ED">
        <w:rPr>
          <w:rFonts w:ascii="方正小标宋_GBK" w:eastAsia="方正小标宋_GBK" w:hint="eastAsia"/>
          <w:color w:val="000000" w:themeColor="text1"/>
          <w:sz w:val="36"/>
          <w:szCs w:val="30"/>
        </w:rPr>
        <w:t>细则</w:t>
      </w:r>
    </w:p>
    <w:p w14:paraId="7ECB52C8" w14:textId="1A1889A2" w:rsidR="002F1923" w:rsidRPr="00AE30ED" w:rsidRDefault="002F1923" w:rsidP="008A7832">
      <w:pPr>
        <w:tabs>
          <w:tab w:val="left" w:pos="2123"/>
        </w:tabs>
        <w:jc w:val="center"/>
        <w:rPr>
          <w:rFonts w:ascii="黑体" w:eastAsia="黑体" w:hAnsi="黑体"/>
          <w:color w:val="000000" w:themeColor="text1"/>
          <w:sz w:val="28"/>
        </w:rPr>
      </w:pPr>
      <w:r w:rsidRPr="00AE30ED">
        <w:rPr>
          <w:rFonts w:ascii="黑体" w:eastAsia="黑体" w:hAnsi="黑体" w:hint="eastAsia"/>
          <w:color w:val="000000" w:themeColor="text1"/>
          <w:sz w:val="28"/>
        </w:rPr>
        <w:t>第一章 总则</w:t>
      </w:r>
    </w:p>
    <w:p w14:paraId="6F584135" w14:textId="1B469B95" w:rsidR="00535ECD" w:rsidRPr="00AE30ED" w:rsidRDefault="00535ECD" w:rsidP="00535ECD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仿宋_GB2312" w:eastAsia="仿宋_GB2312" w:hint="eastAsia"/>
          <w:color w:val="000000" w:themeColor="text1"/>
          <w:sz w:val="28"/>
        </w:rPr>
        <w:t>第一条</w:t>
      </w:r>
      <w:r w:rsidR="00CF1E9D" w:rsidRPr="00AE30ED">
        <w:rPr>
          <w:rFonts w:ascii="仿宋_GB2312" w:eastAsia="仿宋_GB2312" w:hint="eastAsia"/>
          <w:color w:val="000000" w:themeColor="text1"/>
          <w:sz w:val="28"/>
        </w:rPr>
        <w:t xml:space="preserve"> </w:t>
      </w:r>
      <w:r w:rsidR="00725E8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走进管理实践开展案例调研与实证研究</w:t>
      </w:r>
      <w:r w:rsidR="00AB6AFE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，已经成为社会科学发展的重要趋势。以中国为方法，案例中心在</w:t>
      </w:r>
      <w:r w:rsidR="0005260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推进</w:t>
      </w:r>
      <w:r w:rsidR="00CF1E9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案例调研与写作、案例赛事</w:t>
      </w:r>
      <w:r w:rsidR="00AB6AFE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与教学上</w:t>
      </w:r>
      <w:r w:rsidR="0005260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责无旁贷，特出台本细则全面助力学院案例研究、教学与人才培养再上新台阶。</w:t>
      </w:r>
    </w:p>
    <w:p w14:paraId="6FA04DC3" w14:textId="60BE91EB" w:rsidR="00F93D8F" w:rsidRPr="00AE30ED" w:rsidRDefault="00F93D8F" w:rsidP="00535ECD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第二条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161CDE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</w:t>
      </w:r>
      <w:r w:rsidR="006030B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心在学院领导下，负责全院案例工作规划、实施</w:t>
      </w:r>
      <w:r w:rsidR="00EB533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，以及案例</w:t>
      </w:r>
      <w:r w:rsidR="006030B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项目</w:t>
      </w:r>
      <w:r w:rsidR="0068199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申请、检查与</w:t>
      </w:r>
      <w:r w:rsidR="006030B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管理工作</w:t>
      </w:r>
      <w:r w:rsidR="00982A1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。案例中心</w:t>
      </w:r>
      <w:r w:rsidR="006030B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与学院团委、</w:t>
      </w:r>
      <w:r w:rsidR="006030B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M</w:t>
      </w:r>
      <w:r w:rsidR="006030B9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PA</w:t>
      </w:r>
      <w:r w:rsidR="00EB533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教育中心</w:t>
      </w:r>
      <w:r w:rsidR="005A5C9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以及各系所</w:t>
      </w:r>
      <w:r w:rsidR="00EB533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通力合作，建立矩阵式管理</w:t>
      </w:r>
      <w:r w:rsidR="00A22ACC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结构</w:t>
      </w:r>
      <w:r w:rsidR="00EB533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</w:p>
    <w:p w14:paraId="1DEAD830" w14:textId="54F4EAE7" w:rsidR="005818BA" w:rsidRPr="00AE30ED" w:rsidRDefault="00052602" w:rsidP="00535ECD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0757D0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三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CB0F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案例中心实行项目制管理，</w:t>
      </w:r>
      <w:r w:rsidR="007F1C1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分为学生</w:t>
      </w:r>
      <w:r w:rsidR="00BE529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竞赛</w:t>
      </w:r>
      <w:r w:rsidR="0055638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项目</w:t>
      </w:r>
      <w:r w:rsidR="00BE529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和案例</w:t>
      </w:r>
      <w:r w:rsidR="0055638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库项目</w:t>
      </w:r>
      <w:r w:rsidR="007F1C1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两类</w:t>
      </w:r>
      <w:r w:rsidR="00941E8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资助形式分为前期资助和后期资助两类。前期</w:t>
      </w:r>
      <w:r w:rsidR="00CB0F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资助经费</w:t>
      </w:r>
      <w:r w:rsidR="00845100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额度</w:t>
      </w:r>
      <w:r w:rsidR="00CB0F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以项目质量</w:t>
      </w:r>
      <w:r w:rsidR="007B681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和调研成本</w:t>
      </w:r>
      <w:r w:rsidR="00CB0F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为依据</w:t>
      </w:r>
      <w:r w:rsidR="00941E8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，项目周期一般不超过</w:t>
      </w:r>
      <w:r w:rsidR="00941E8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2</w:t>
      </w:r>
      <w:r w:rsidR="00941E8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年</w:t>
      </w:r>
      <w:r w:rsidR="00CB0F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后期资助额度以获奖情况为依据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，一般不超过同类型前期资助的最高额度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</w:p>
    <w:p w14:paraId="1896BD33" w14:textId="2B2093E5" w:rsidR="000757D0" w:rsidRPr="00AE30ED" w:rsidRDefault="005818BA" w:rsidP="00535ECD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第四条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A00E9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案例中心全面负责项目申请、中期检查和结题工作</w:t>
      </w:r>
      <w:r w:rsidR="000757D0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  <w:r w:rsidR="00A00E9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申请人负责项目实施，指导学生实地调研、撰写案例和参加比赛，</w:t>
      </w:r>
      <w:r w:rsidR="004C7230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认真及时完成项目研究任务。</w:t>
      </w:r>
    </w:p>
    <w:p w14:paraId="34B8E901" w14:textId="3B4D5FEC" w:rsidR="008A7832" w:rsidRPr="00AE30ED" w:rsidRDefault="008A7832" w:rsidP="008A7832">
      <w:pPr>
        <w:tabs>
          <w:tab w:val="left" w:pos="2123"/>
        </w:tabs>
        <w:jc w:val="center"/>
        <w:rPr>
          <w:rFonts w:ascii="黑体" w:eastAsia="黑体" w:hAnsi="黑体"/>
          <w:color w:val="000000" w:themeColor="text1"/>
          <w:sz w:val="28"/>
        </w:rPr>
      </w:pPr>
      <w:r w:rsidRPr="00AE30ED">
        <w:rPr>
          <w:rFonts w:ascii="黑体" w:eastAsia="黑体" w:hAnsi="黑体" w:hint="eastAsia"/>
          <w:color w:val="000000" w:themeColor="text1"/>
          <w:sz w:val="28"/>
        </w:rPr>
        <w:t>第二章 学生竞赛项目</w:t>
      </w:r>
      <w:r w:rsidR="00914039" w:rsidRPr="00AE30ED">
        <w:rPr>
          <w:rFonts w:ascii="黑体" w:eastAsia="黑体" w:hAnsi="黑体" w:hint="eastAsia"/>
          <w:color w:val="000000" w:themeColor="text1"/>
          <w:sz w:val="28"/>
        </w:rPr>
        <w:t>申请</w:t>
      </w:r>
      <w:r w:rsidR="00010966" w:rsidRPr="00AE30ED">
        <w:rPr>
          <w:rFonts w:ascii="黑体" w:eastAsia="黑体" w:hAnsi="黑体" w:hint="eastAsia"/>
          <w:color w:val="000000" w:themeColor="text1"/>
          <w:sz w:val="28"/>
        </w:rPr>
        <w:t>与资助</w:t>
      </w:r>
    </w:p>
    <w:p w14:paraId="088930DF" w14:textId="68DB7257" w:rsidR="00BC1538" w:rsidRPr="00AE30ED" w:rsidRDefault="00BC1538" w:rsidP="00BC1538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五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学生竞赛项目旨在</w:t>
      </w:r>
      <w:r w:rsidR="000549C5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着力提升人才培养质量，培育</w:t>
      </w:r>
      <w:r w:rsidR="0090235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优秀学生</w:t>
      </w:r>
      <w:r w:rsidR="000549C5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在全国有显示度的赛事获得</w:t>
      </w:r>
      <w:r w:rsidR="008A78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高层次奖项。学生竞赛项目</w:t>
      </w:r>
      <w:r w:rsidR="00DA585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包括</w:t>
      </w:r>
      <w:r w:rsidR="008A78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全日制学生高水平赛事和中国研究生公共管理案例大赛</w:t>
      </w:r>
      <w:r w:rsidR="00E435E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（</w:t>
      </w:r>
      <w:r w:rsidR="00E435E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M</w:t>
      </w:r>
      <w:r w:rsidR="00E435ED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PA</w:t>
      </w:r>
      <w:r w:rsidR="00E435E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案例大赛）。</w:t>
      </w:r>
    </w:p>
    <w:p w14:paraId="1CA98BD1" w14:textId="3B339A01" w:rsidR="00AA728B" w:rsidRPr="00AE30ED" w:rsidRDefault="00AA728B" w:rsidP="00AA728B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lastRenderedPageBreak/>
        <w:t>第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六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学生竞赛项目经费由指导教师负责使用、分配和监督，分两批拨付。立项拨付经费</w:t>
      </w:r>
      <w:r w:rsidR="00CB503A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50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>%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，结题拨付</w:t>
      </w:r>
      <w:r w:rsidR="00CB503A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50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>%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</w:p>
    <w:p w14:paraId="61FCA590" w14:textId="23205B82" w:rsidR="00682657" w:rsidRPr="00AE30ED" w:rsidRDefault="00AA728B" w:rsidP="00BC1538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七</w:t>
      </w:r>
      <w:r w:rsidR="00E435E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="00E435E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BC153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全日制学生高水平赛事</w:t>
      </w:r>
      <w:r w:rsidR="00E435E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包括“挑战杯”全国大学生课外学术科技作品竞赛、</w:t>
      </w:r>
      <w:r w:rsidR="00BC153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中国人民大学“求是杯”全国公共管理案例大赛和清华大学中国公共政策案例分析大赛。</w:t>
      </w:r>
      <w:r w:rsidR="006B700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其它</w:t>
      </w:r>
      <w:r w:rsidR="0068265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竞赛大赛，案例中心将根据其学术影响力酌情增删。</w:t>
      </w:r>
    </w:p>
    <w:p w14:paraId="66F6FE0D" w14:textId="53DF23BB" w:rsidR="00A200C7" w:rsidRPr="00AE30ED" w:rsidRDefault="000A7947" w:rsidP="00A200C7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八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AD077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全日制学生高水平赛事培育项目每年资助</w:t>
      </w:r>
      <w:r w:rsidR="00422B51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5</w:t>
      </w:r>
      <w:r w:rsidR="00AD077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</w:t>
      </w:r>
      <w:r w:rsidR="00422B5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左右</w:t>
      </w:r>
      <w:r w:rsidR="00AD077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，每项</w:t>
      </w:r>
      <w:r w:rsidR="00AD077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0</w:t>
      </w:r>
      <w:r w:rsidR="00AD077F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.</w:t>
      </w:r>
      <w:r w:rsidR="00A63EB6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4</w:t>
      </w:r>
      <w:r w:rsidR="00AD077F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-1</w:t>
      </w:r>
      <w:r w:rsidR="00B0589C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万元，主要以预期的项目质量和调研成本为</w:t>
      </w:r>
      <w:r w:rsidR="00810DB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资助</w:t>
      </w:r>
      <w:r w:rsidR="00B0589C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依据。</w:t>
      </w:r>
    </w:p>
    <w:p w14:paraId="4917D18A" w14:textId="6C287423" w:rsidR="00A200C7" w:rsidRPr="00AE30ED" w:rsidRDefault="00AD077F" w:rsidP="00A200C7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九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3C15A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结题</w:t>
      </w:r>
      <w:r w:rsidR="00A200C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为优秀的“三下乡”、</w:t>
      </w:r>
      <w:r w:rsidR="00A200C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S</w:t>
      </w:r>
      <w:r w:rsidR="00A200C7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RDP</w:t>
      </w:r>
      <w:r w:rsidR="00A200C7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、国创等</w:t>
      </w:r>
      <w:r w:rsidR="00A200C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有价</w:t>
      </w:r>
      <w:r w:rsidR="0004761B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值的案例，可优先申请资助。其他单独申请的，由案例中心组织专家评审</w:t>
      </w:r>
      <w:r w:rsidR="00A200C7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</w:p>
    <w:p w14:paraId="7EA52A52" w14:textId="78C0EECE" w:rsidR="00166EC5" w:rsidRPr="00AE30ED" w:rsidRDefault="00800A22" w:rsidP="00800A22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5818B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十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全国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M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>PA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案例大赛资助项目每年重点支持</w:t>
      </w:r>
      <w:r w:rsidR="00422B51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5</w:t>
      </w:r>
      <w:r w:rsidR="00422B5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项左右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，每项资助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0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>.</w:t>
      </w:r>
      <w:r w:rsidR="00A63EB6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4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>-1</w:t>
      </w:r>
      <w:r w:rsidR="00DD07DD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.</w:t>
      </w:r>
      <w:r w:rsidR="004F001A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2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万元，主要以预期的项目质量和调研成本为</w:t>
      </w:r>
      <w:r w:rsidR="00810DB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资助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依据。</w:t>
      </w:r>
    </w:p>
    <w:p w14:paraId="295AD1B5" w14:textId="2785627A" w:rsidR="00CB503A" w:rsidRPr="00AE30ED" w:rsidRDefault="00CB503A" w:rsidP="00535ECD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一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案例中心不再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对竞赛获奖进行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额外奖励。竞赛成果的奖励，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由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学院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按照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年终业绩津贴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标准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或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M</w:t>
      </w:r>
      <w:r w:rsidRPr="00AE30ED">
        <w:rPr>
          <w:rFonts w:ascii="Times New Roman" w:eastAsia="仿宋_GB2312" w:hAnsi="Times New Roman" w:cs="Times New Roman"/>
          <w:color w:val="000000" w:themeColor="text1"/>
          <w:sz w:val="28"/>
        </w:rPr>
        <w:t>PA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教育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中心奖励</w:t>
      </w:r>
      <w:r w:rsidR="00AB3FD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标准进行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</w:p>
    <w:p w14:paraId="296D5F3F" w14:textId="474206DA" w:rsidR="00DA4692" w:rsidRPr="00AE30ED" w:rsidRDefault="00DA4692" w:rsidP="00DA4692">
      <w:pPr>
        <w:tabs>
          <w:tab w:val="left" w:pos="2123"/>
        </w:tabs>
        <w:jc w:val="center"/>
        <w:rPr>
          <w:rFonts w:ascii="黑体" w:eastAsia="黑体" w:hAnsi="黑体"/>
          <w:color w:val="000000" w:themeColor="text1"/>
          <w:sz w:val="28"/>
        </w:rPr>
      </w:pPr>
      <w:r w:rsidRPr="00AE30ED">
        <w:rPr>
          <w:rFonts w:ascii="黑体" w:eastAsia="黑体" w:hAnsi="黑体" w:hint="eastAsia"/>
          <w:color w:val="000000" w:themeColor="text1"/>
          <w:sz w:val="28"/>
        </w:rPr>
        <w:t>第三章 案例库项目</w:t>
      </w:r>
      <w:r w:rsidR="00914039" w:rsidRPr="00AE30ED">
        <w:rPr>
          <w:rFonts w:ascii="黑体" w:eastAsia="黑体" w:hAnsi="黑体" w:hint="eastAsia"/>
          <w:color w:val="000000" w:themeColor="text1"/>
          <w:sz w:val="28"/>
        </w:rPr>
        <w:t>申请</w:t>
      </w:r>
      <w:r w:rsidR="00010966" w:rsidRPr="00AE30ED">
        <w:rPr>
          <w:rFonts w:ascii="黑体" w:eastAsia="黑体" w:hAnsi="黑体" w:hint="eastAsia"/>
          <w:color w:val="000000" w:themeColor="text1"/>
          <w:sz w:val="28"/>
        </w:rPr>
        <w:t>与资助</w:t>
      </w:r>
    </w:p>
    <w:p w14:paraId="43EA42C8" w14:textId="2E5BFC91" w:rsidR="00DA4692" w:rsidRPr="00AE30ED" w:rsidRDefault="000832EF" w:rsidP="00216007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二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DA469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案例库项目主要支持教师实地调研，编撰优秀案例入库以及辅助教学和科研工作。</w:t>
      </w:r>
    </w:p>
    <w:p w14:paraId="0D5D2BF1" w14:textId="226FA8C0" w:rsidR="009216FE" w:rsidRPr="00AE30ED" w:rsidRDefault="002A11F0" w:rsidP="00216007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三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="00E12E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E12E32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本院教师可以申请</w:t>
      </w:r>
      <w:r w:rsidR="00810DB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</w:t>
      </w:r>
      <w:r w:rsidR="00EB18B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项目每年预计资助</w:t>
      </w:r>
      <w:r w:rsidR="00422B51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5</w:t>
      </w:r>
      <w:r w:rsidR="00422B5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项左右</w:t>
      </w:r>
      <w:r w:rsidR="00EB18B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。其中，重点项目每项资助</w:t>
      </w:r>
      <w:r w:rsidR="00422B5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0</w:t>
      </w:r>
      <w:r w:rsidR="00422B51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.4-</w:t>
      </w:r>
      <w:r w:rsidR="00EB18B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1</w:t>
      </w:r>
      <w:r w:rsidR="00422B51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.2</w:t>
      </w:r>
      <w:r w:rsidR="00EB18B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万。</w:t>
      </w:r>
    </w:p>
    <w:p w14:paraId="13E57530" w14:textId="7426D344" w:rsidR="008C725F" w:rsidRPr="00AE30ED" w:rsidRDefault="00CE52A5" w:rsidP="00216007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四</w:t>
      </w:r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如以申请项目的案例作为研究成果发表，</w:t>
      </w:r>
      <w:proofErr w:type="gramStart"/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请感谢</w:t>
      </w:r>
      <w:proofErr w:type="gramEnd"/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案例中心的资助，将</w:t>
      </w:r>
      <w:proofErr w:type="gramStart"/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视发表</w:t>
      </w:r>
      <w:proofErr w:type="gramEnd"/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层次予以不超过</w:t>
      </w:r>
      <w:r w:rsidR="008C725F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1000</w:t>
      </w:r>
      <w:r w:rsidR="008C725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元的奖励。</w:t>
      </w:r>
    </w:p>
    <w:p w14:paraId="7433B28D" w14:textId="36E5E5EC" w:rsidR="00CE52A5" w:rsidRPr="00AE30ED" w:rsidRDefault="00CE52A5" w:rsidP="00216007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五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案例中心鼓励</w:t>
      </w:r>
      <w:r w:rsidR="00401B0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案例库项目包含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学生</w:t>
      </w:r>
      <w:r w:rsidR="00401B01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竞赛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培育，但仅按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lastRenderedPageBreak/>
        <w:t>单项提供资助。</w:t>
      </w:r>
    </w:p>
    <w:p w14:paraId="593EA210" w14:textId="02BB08B3" w:rsidR="006071DF" w:rsidRPr="00AE30ED" w:rsidRDefault="006071DF" w:rsidP="006071DF">
      <w:pPr>
        <w:tabs>
          <w:tab w:val="left" w:pos="2123"/>
        </w:tabs>
        <w:jc w:val="center"/>
        <w:rPr>
          <w:rFonts w:ascii="黑体" w:eastAsia="黑体" w:hAnsi="黑体"/>
          <w:color w:val="000000" w:themeColor="text1"/>
          <w:sz w:val="28"/>
        </w:rPr>
      </w:pPr>
      <w:r w:rsidRPr="00AE30ED">
        <w:rPr>
          <w:rFonts w:ascii="黑体" w:eastAsia="黑体" w:hAnsi="黑体" w:hint="eastAsia"/>
          <w:color w:val="000000" w:themeColor="text1"/>
          <w:sz w:val="28"/>
        </w:rPr>
        <w:t>第四章 结题与其他</w:t>
      </w:r>
    </w:p>
    <w:p w14:paraId="53667EC4" w14:textId="0ED8CDAC" w:rsidR="009B0D5A" w:rsidRPr="00AE30ED" w:rsidRDefault="0087540C" w:rsidP="009B0D5A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六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B560B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学生竞赛项目和案例库项目实行交叉</w:t>
      </w:r>
      <w:r w:rsidR="005817FB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结题</w:t>
      </w:r>
      <w:r w:rsidR="00F5754C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  <w:r w:rsidR="006C6E6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所有</w:t>
      </w:r>
      <w:r w:rsidR="009B0D5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项目原则上均需提交案例至</w:t>
      </w:r>
      <w:r w:rsidR="00905D8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本中心的</w:t>
      </w:r>
      <w:r w:rsidR="009B0D5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教学与研究案例库，供学院教学使用。案例中心鼓励在获奖和成果上感谢本中心的资助。</w:t>
      </w:r>
    </w:p>
    <w:p w14:paraId="27B058C7" w14:textId="0AB415D7" w:rsidR="000832EF" w:rsidRPr="00AE30ED" w:rsidRDefault="000D518C" w:rsidP="000832EF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七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E0363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全日制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学生</w:t>
      </w:r>
      <w:r w:rsidR="00E0363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竞赛</w:t>
      </w:r>
      <w:r w:rsidR="00347D1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项目如获奖，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自动结题</w:t>
      </w:r>
      <w:r w:rsidR="009B0D5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。</w:t>
      </w:r>
      <w:r w:rsidR="00347D1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全国</w:t>
      </w:r>
      <w:r w:rsidR="00347D1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M</w:t>
      </w:r>
      <w:r w:rsidR="00347D16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PA</w:t>
      </w:r>
      <w:r w:rsidR="00347D16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案例大赛项目入围百强，自动结题。未获奖或未入围的，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转为</w:t>
      </w:r>
      <w:r w:rsidR="006C6E63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项目，</w:t>
      </w:r>
      <w:r w:rsidR="009B0D5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经评审后</w:t>
      </w:r>
      <w:r w:rsidR="000832E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申请结题。</w:t>
      </w:r>
    </w:p>
    <w:p w14:paraId="74B18180" w14:textId="17273A64" w:rsidR="00313289" w:rsidRPr="00AE30ED" w:rsidRDefault="002A1F3A" w:rsidP="00B560B8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八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313289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案例库项目结题等级分为优秀、良好、合格、不合格。不合格者不予拨付结题经费。</w:t>
      </w:r>
      <w:r w:rsidR="003C15AD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未达到第十九、二十条要求的，</w:t>
      </w:r>
      <w:r w:rsidR="000C542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评审为合格或不合格。</w:t>
      </w:r>
    </w:p>
    <w:p w14:paraId="5981AD9F" w14:textId="3B941050" w:rsidR="00B560B8" w:rsidRPr="00AE30ED" w:rsidRDefault="0004761B" w:rsidP="00B560B8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九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2A1F3A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案例库项目达到以下要求视为优秀并自动结题：</w:t>
      </w:r>
      <w:r w:rsidR="00E03634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入选全国性相关案例库，或指导学生使用申请的案例获得学生竞赛三等奖以上。</w:t>
      </w:r>
    </w:p>
    <w:p w14:paraId="1B2E0F46" w14:textId="57B02F39" w:rsidR="00347D16" w:rsidRPr="00AE30ED" w:rsidRDefault="0004761B" w:rsidP="000832EF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二十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="00B560B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案例库项目达到以下要求视为良好并自动结题：获得全日制学生竞赛其他奖项</w:t>
      </w:r>
      <w:r w:rsidR="0004319B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；</w:t>
      </w:r>
      <w:r w:rsidR="00A973A0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在</w:t>
      </w:r>
      <w:r w:rsidR="0004319B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省部级以上、</w:t>
      </w:r>
      <w:r w:rsidR="0004319B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9</w:t>
      </w:r>
      <w:r w:rsidR="0004319B" w:rsidRPr="00AE30ED">
        <w:rPr>
          <w:rFonts w:ascii="Times New Roman" w:eastAsia="仿宋_GB2312" w:hAnsi="Times New Roman" w:cs="Times New Roman"/>
          <w:color w:val="000000" w:themeColor="text1"/>
          <w:sz w:val="28"/>
        </w:rPr>
        <w:t>85</w:t>
      </w:r>
      <w:r w:rsidR="00A973A0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高校、中国社科院大学等同等级别机构组织的赛事上获得一等奖及以上；专家评审认定。</w:t>
      </w:r>
    </w:p>
    <w:p w14:paraId="34198772" w14:textId="15B19AB2" w:rsidR="00517BE3" w:rsidRPr="00AE30ED" w:rsidRDefault="002F22DC" w:rsidP="000832EF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第二十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一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案例中心将于每年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5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月份启动项目申请工作，视申请结题情况择</w:t>
      </w:r>
      <w:proofErr w:type="gramStart"/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机</w:t>
      </w:r>
      <w:r w:rsidR="00DC3338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开展</w:t>
      </w:r>
      <w:proofErr w:type="gramEnd"/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结题工作。</w:t>
      </w:r>
    </w:p>
    <w:p w14:paraId="4D730677" w14:textId="07BBC11D" w:rsidR="00A63EB6" w:rsidRPr="00AE30ED" w:rsidRDefault="00B03668" w:rsidP="003C15AD">
      <w:pPr>
        <w:tabs>
          <w:tab w:val="left" w:pos="2123"/>
        </w:tabs>
        <w:ind w:firstLineChars="200" w:firstLine="560"/>
        <w:rPr>
          <w:rFonts w:ascii="Times New Roman" w:eastAsia="仿宋_GB2312" w:hAnsi="Times New Roman" w:cs="Times New Roman"/>
          <w:color w:val="000000" w:themeColor="text1"/>
          <w:sz w:val="28"/>
        </w:rPr>
      </w:pP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第</w:t>
      </w:r>
      <w:r w:rsidR="00C1074F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二十二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条</w:t>
      </w:r>
      <w:r w:rsidR="0004761B"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 xml:space="preserve"> </w:t>
      </w:r>
      <w:r w:rsidRPr="00AE30ED">
        <w:rPr>
          <w:rFonts w:ascii="Times New Roman" w:eastAsia="仿宋_GB2312" w:hAnsi="Times New Roman" w:cs="Times New Roman" w:hint="eastAsia"/>
          <w:color w:val="000000" w:themeColor="text1"/>
          <w:sz w:val="28"/>
        </w:rPr>
        <w:t>本细则最终解释权归案例中心。</w:t>
      </w:r>
    </w:p>
    <w:p w14:paraId="378B119C" w14:textId="77777777" w:rsidR="00A63EB6" w:rsidRPr="00AE30ED" w:rsidRDefault="00A63EB6" w:rsidP="003C15AD">
      <w:pPr>
        <w:tabs>
          <w:tab w:val="left" w:pos="2123"/>
        </w:tabs>
        <w:ind w:firstLineChars="200" w:firstLine="480"/>
        <w:rPr>
          <w:rFonts w:ascii="仿宋_GB2312" w:eastAsia="仿宋_GB2312"/>
          <w:color w:val="000000" w:themeColor="text1"/>
          <w:sz w:val="24"/>
        </w:rPr>
      </w:pPr>
    </w:p>
    <w:p w14:paraId="04D6A080" w14:textId="4C196B4F" w:rsidR="00B03668" w:rsidRPr="00AE30ED" w:rsidRDefault="00A63EB6" w:rsidP="00080816">
      <w:pPr>
        <w:tabs>
          <w:tab w:val="left" w:pos="2123"/>
        </w:tabs>
        <w:ind w:firstLineChars="200" w:firstLine="480"/>
        <w:jc w:val="right"/>
        <w:rPr>
          <w:rFonts w:ascii="仿宋_GB2312" w:eastAsia="仿宋_GB2312"/>
          <w:color w:val="000000" w:themeColor="text1"/>
          <w:sz w:val="24"/>
        </w:rPr>
      </w:pPr>
      <w:r w:rsidRPr="00AE30ED">
        <w:rPr>
          <w:rFonts w:ascii="仿宋_GB2312" w:eastAsia="仿宋_GB2312" w:hint="eastAsia"/>
          <w:color w:val="000000" w:themeColor="text1"/>
          <w:sz w:val="24"/>
        </w:rPr>
        <w:t>2</w:t>
      </w:r>
      <w:r w:rsidRPr="00AE30ED">
        <w:rPr>
          <w:rFonts w:ascii="仿宋_GB2312" w:eastAsia="仿宋_GB2312"/>
          <w:color w:val="000000" w:themeColor="text1"/>
          <w:sz w:val="24"/>
        </w:rPr>
        <w:t>023</w:t>
      </w:r>
      <w:r w:rsidRPr="00AE30ED">
        <w:rPr>
          <w:rFonts w:ascii="仿宋_GB2312" w:eastAsia="仿宋_GB2312" w:hint="eastAsia"/>
          <w:color w:val="000000" w:themeColor="text1"/>
          <w:sz w:val="24"/>
        </w:rPr>
        <w:t>年3月</w:t>
      </w:r>
      <w:bookmarkStart w:id="0" w:name="_GoBack"/>
      <w:bookmarkEnd w:id="0"/>
    </w:p>
    <w:sectPr w:rsidR="00B03668" w:rsidRPr="00AE30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E79B" w14:textId="77777777" w:rsidR="00A02F21" w:rsidRDefault="00A02F21" w:rsidP="00A13A5E">
      <w:r>
        <w:separator/>
      </w:r>
    </w:p>
  </w:endnote>
  <w:endnote w:type="continuationSeparator" w:id="0">
    <w:p w14:paraId="0EE0F9EF" w14:textId="77777777" w:rsidR="00A02F21" w:rsidRDefault="00A02F21" w:rsidP="00A1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696697924"/>
      <w:docPartObj>
        <w:docPartGallery w:val="Page Numbers (Bottom of Page)"/>
        <w:docPartUnique/>
      </w:docPartObj>
    </w:sdtPr>
    <w:sdtEndPr/>
    <w:sdtContent>
      <w:p w14:paraId="61E4E35A" w14:textId="2D5187B8" w:rsidR="00A13A5E" w:rsidRPr="005D72A7" w:rsidRDefault="00A13A5E" w:rsidP="00A13A5E">
        <w:pPr>
          <w:pStyle w:val="a6"/>
          <w:jc w:val="center"/>
          <w:rPr>
            <w:rFonts w:ascii="Times New Roman" w:hAnsi="Times New Roman" w:cs="Times New Roman"/>
          </w:rPr>
        </w:pPr>
        <w:r w:rsidRPr="005D72A7">
          <w:rPr>
            <w:rFonts w:ascii="Times New Roman" w:hAnsi="Times New Roman" w:cs="Times New Roman"/>
          </w:rPr>
          <w:fldChar w:fldCharType="begin"/>
        </w:r>
        <w:r w:rsidRPr="005D72A7">
          <w:rPr>
            <w:rFonts w:ascii="Times New Roman" w:hAnsi="Times New Roman" w:cs="Times New Roman"/>
          </w:rPr>
          <w:instrText>PAGE   \* MERGEFORMAT</w:instrText>
        </w:r>
        <w:r w:rsidRPr="005D72A7">
          <w:rPr>
            <w:rFonts w:ascii="Times New Roman" w:hAnsi="Times New Roman" w:cs="Times New Roman"/>
          </w:rPr>
          <w:fldChar w:fldCharType="separate"/>
        </w:r>
        <w:r w:rsidR="006C04AF" w:rsidRPr="006C04AF">
          <w:rPr>
            <w:rFonts w:ascii="Times New Roman" w:hAnsi="Times New Roman" w:cs="Times New Roman"/>
            <w:noProof/>
            <w:lang w:val="zh-CN"/>
          </w:rPr>
          <w:t>1</w:t>
        </w:r>
        <w:r w:rsidRPr="005D72A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58020" w14:textId="77777777" w:rsidR="00A02F21" w:rsidRDefault="00A02F21" w:rsidP="00A13A5E">
      <w:r>
        <w:separator/>
      </w:r>
    </w:p>
  </w:footnote>
  <w:footnote w:type="continuationSeparator" w:id="0">
    <w:p w14:paraId="26BC86C7" w14:textId="77777777" w:rsidR="00A02F21" w:rsidRDefault="00A02F21" w:rsidP="00A13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1F"/>
    <w:rsid w:val="000008E1"/>
    <w:rsid w:val="00000F69"/>
    <w:rsid w:val="00010966"/>
    <w:rsid w:val="0004319B"/>
    <w:rsid w:val="0004761B"/>
    <w:rsid w:val="00052602"/>
    <w:rsid w:val="000549C5"/>
    <w:rsid w:val="00073C07"/>
    <w:rsid w:val="000757D0"/>
    <w:rsid w:val="00075D89"/>
    <w:rsid w:val="00080816"/>
    <w:rsid w:val="000832EF"/>
    <w:rsid w:val="000A474B"/>
    <w:rsid w:val="000A7947"/>
    <w:rsid w:val="000C5428"/>
    <w:rsid w:val="000D518C"/>
    <w:rsid w:val="00105EE0"/>
    <w:rsid w:val="00121639"/>
    <w:rsid w:val="00126E33"/>
    <w:rsid w:val="00136678"/>
    <w:rsid w:val="00150783"/>
    <w:rsid w:val="00161CDE"/>
    <w:rsid w:val="00166EC5"/>
    <w:rsid w:val="00173527"/>
    <w:rsid w:val="001A1B89"/>
    <w:rsid w:val="001E7E21"/>
    <w:rsid w:val="00216007"/>
    <w:rsid w:val="00231900"/>
    <w:rsid w:val="00236EC1"/>
    <w:rsid w:val="0025101F"/>
    <w:rsid w:val="00256BF2"/>
    <w:rsid w:val="0028369D"/>
    <w:rsid w:val="002901AC"/>
    <w:rsid w:val="0029544B"/>
    <w:rsid w:val="002A11F0"/>
    <w:rsid w:val="002A135D"/>
    <w:rsid w:val="002A1F3A"/>
    <w:rsid w:val="002C4CAD"/>
    <w:rsid w:val="002C6CF1"/>
    <w:rsid w:val="002D0C15"/>
    <w:rsid w:val="002F1923"/>
    <w:rsid w:val="002F22DC"/>
    <w:rsid w:val="00306889"/>
    <w:rsid w:val="00313289"/>
    <w:rsid w:val="00341B62"/>
    <w:rsid w:val="00345C9F"/>
    <w:rsid w:val="003468B9"/>
    <w:rsid w:val="00347D16"/>
    <w:rsid w:val="00360314"/>
    <w:rsid w:val="003834F1"/>
    <w:rsid w:val="003878D8"/>
    <w:rsid w:val="00390BC8"/>
    <w:rsid w:val="003971CC"/>
    <w:rsid w:val="003C15AD"/>
    <w:rsid w:val="003D14C2"/>
    <w:rsid w:val="003D583E"/>
    <w:rsid w:val="00401B01"/>
    <w:rsid w:val="00422B51"/>
    <w:rsid w:val="00453257"/>
    <w:rsid w:val="00480D90"/>
    <w:rsid w:val="00486989"/>
    <w:rsid w:val="004C7230"/>
    <w:rsid w:val="004D7ADC"/>
    <w:rsid w:val="004E7FAC"/>
    <w:rsid w:val="004F001A"/>
    <w:rsid w:val="00504038"/>
    <w:rsid w:val="00517BE3"/>
    <w:rsid w:val="0053048C"/>
    <w:rsid w:val="00535ECD"/>
    <w:rsid w:val="0055138E"/>
    <w:rsid w:val="00556382"/>
    <w:rsid w:val="00567487"/>
    <w:rsid w:val="005817FB"/>
    <w:rsid w:val="005818BA"/>
    <w:rsid w:val="00596E60"/>
    <w:rsid w:val="005A5C93"/>
    <w:rsid w:val="005B1772"/>
    <w:rsid w:val="005C1F42"/>
    <w:rsid w:val="005D72A7"/>
    <w:rsid w:val="005F64DE"/>
    <w:rsid w:val="006030B9"/>
    <w:rsid w:val="006071DF"/>
    <w:rsid w:val="00624AFA"/>
    <w:rsid w:val="0064380B"/>
    <w:rsid w:val="0064663D"/>
    <w:rsid w:val="00655473"/>
    <w:rsid w:val="0066718E"/>
    <w:rsid w:val="0067582D"/>
    <w:rsid w:val="0068199D"/>
    <w:rsid w:val="00682657"/>
    <w:rsid w:val="006861D3"/>
    <w:rsid w:val="006966F0"/>
    <w:rsid w:val="006A397D"/>
    <w:rsid w:val="006B7003"/>
    <w:rsid w:val="006C04AF"/>
    <w:rsid w:val="006C08CF"/>
    <w:rsid w:val="006C6E63"/>
    <w:rsid w:val="006D0805"/>
    <w:rsid w:val="006D10D2"/>
    <w:rsid w:val="006E772C"/>
    <w:rsid w:val="006F554A"/>
    <w:rsid w:val="007215A3"/>
    <w:rsid w:val="007224D9"/>
    <w:rsid w:val="00725E88"/>
    <w:rsid w:val="007522F5"/>
    <w:rsid w:val="00754846"/>
    <w:rsid w:val="00763CCC"/>
    <w:rsid w:val="00780892"/>
    <w:rsid w:val="00790378"/>
    <w:rsid w:val="007A5F76"/>
    <w:rsid w:val="007B681F"/>
    <w:rsid w:val="007C7752"/>
    <w:rsid w:val="007E2809"/>
    <w:rsid w:val="007E4C4C"/>
    <w:rsid w:val="007F1C17"/>
    <w:rsid w:val="00800A22"/>
    <w:rsid w:val="00810DBF"/>
    <w:rsid w:val="00814BCA"/>
    <w:rsid w:val="00845100"/>
    <w:rsid w:val="008561B9"/>
    <w:rsid w:val="0087540C"/>
    <w:rsid w:val="00883389"/>
    <w:rsid w:val="00891651"/>
    <w:rsid w:val="008A4D19"/>
    <w:rsid w:val="008A7832"/>
    <w:rsid w:val="008C725F"/>
    <w:rsid w:val="008E2DA8"/>
    <w:rsid w:val="008E66C5"/>
    <w:rsid w:val="008F1964"/>
    <w:rsid w:val="008F49C4"/>
    <w:rsid w:val="00902354"/>
    <w:rsid w:val="00905D8F"/>
    <w:rsid w:val="00913DBD"/>
    <w:rsid w:val="00914039"/>
    <w:rsid w:val="009216FE"/>
    <w:rsid w:val="0092497C"/>
    <w:rsid w:val="00941E81"/>
    <w:rsid w:val="00967159"/>
    <w:rsid w:val="00982A11"/>
    <w:rsid w:val="009B0D5A"/>
    <w:rsid w:val="009B22A7"/>
    <w:rsid w:val="009B317C"/>
    <w:rsid w:val="009B7D9C"/>
    <w:rsid w:val="009D23B1"/>
    <w:rsid w:val="009D3808"/>
    <w:rsid w:val="009E01B0"/>
    <w:rsid w:val="009F33F8"/>
    <w:rsid w:val="00A00E9D"/>
    <w:rsid w:val="00A02F21"/>
    <w:rsid w:val="00A0358D"/>
    <w:rsid w:val="00A13A5E"/>
    <w:rsid w:val="00A200C7"/>
    <w:rsid w:val="00A22ACC"/>
    <w:rsid w:val="00A63EB6"/>
    <w:rsid w:val="00A7063F"/>
    <w:rsid w:val="00A813E6"/>
    <w:rsid w:val="00A973A0"/>
    <w:rsid w:val="00AA2FED"/>
    <w:rsid w:val="00AA5344"/>
    <w:rsid w:val="00AA728B"/>
    <w:rsid w:val="00AB3FD4"/>
    <w:rsid w:val="00AB6AFE"/>
    <w:rsid w:val="00AD077F"/>
    <w:rsid w:val="00AE30ED"/>
    <w:rsid w:val="00AE4798"/>
    <w:rsid w:val="00AE5C8B"/>
    <w:rsid w:val="00AF335F"/>
    <w:rsid w:val="00B03668"/>
    <w:rsid w:val="00B0589C"/>
    <w:rsid w:val="00B214D9"/>
    <w:rsid w:val="00B37341"/>
    <w:rsid w:val="00B3751B"/>
    <w:rsid w:val="00B50939"/>
    <w:rsid w:val="00B51F19"/>
    <w:rsid w:val="00B553C8"/>
    <w:rsid w:val="00B560B8"/>
    <w:rsid w:val="00B67A40"/>
    <w:rsid w:val="00B8451F"/>
    <w:rsid w:val="00BC1538"/>
    <w:rsid w:val="00BE5296"/>
    <w:rsid w:val="00C1074F"/>
    <w:rsid w:val="00C25EC2"/>
    <w:rsid w:val="00CA22C6"/>
    <w:rsid w:val="00CA3F64"/>
    <w:rsid w:val="00CA53FA"/>
    <w:rsid w:val="00CA5D40"/>
    <w:rsid w:val="00CB0F32"/>
    <w:rsid w:val="00CB503A"/>
    <w:rsid w:val="00CE52A5"/>
    <w:rsid w:val="00CF1E9D"/>
    <w:rsid w:val="00CF61E4"/>
    <w:rsid w:val="00D01383"/>
    <w:rsid w:val="00D528F6"/>
    <w:rsid w:val="00D7244B"/>
    <w:rsid w:val="00DA4692"/>
    <w:rsid w:val="00DA5856"/>
    <w:rsid w:val="00DB71C1"/>
    <w:rsid w:val="00DC3338"/>
    <w:rsid w:val="00DC58FA"/>
    <w:rsid w:val="00DD07DD"/>
    <w:rsid w:val="00E03634"/>
    <w:rsid w:val="00E12E32"/>
    <w:rsid w:val="00E435ED"/>
    <w:rsid w:val="00E77FCD"/>
    <w:rsid w:val="00EB18B3"/>
    <w:rsid w:val="00EB5339"/>
    <w:rsid w:val="00EB75E1"/>
    <w:rsid w:val="00EC4915"/>
    <w:rsid w:val="00ED740F"/>
    <w:rsid w:val="00EE0437"/>
    <w:rsid w:val="00EF4FA7"/>
    <w:rsid w:val="00F00CFB"/>
    <w:rsid w:val="00F27E14"/>
    <w:rsid w:val="00F375FC"/>
    <w:rsid w:val="00F41763"/>
    <w:rsid w:val="00F5366D"/>
    <w:rsid w:val="00F5754C"/>
    <w:rsid w:val="00F91F15"/>
    <w:rsid w:val="00F93D8F"/>
    <w:rsid w:val="00F95288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C2615"/>
  <w15:chartTrackingRefBased/>
  <w15:docId w15:val="{8365BC02-6A18-4A52-B67F-60FE3866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A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3A5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3A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3A5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75FC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375FC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375F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375F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375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75F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375FC"/>
    <w:rPr>
      <w:sz w:val="18"/>
      <w:szCs w:val="18"/>
    </w:rPr>
  </w:style>
  <w:style w:type="paragraph" w:styleId="af">
    <w:name w:val="List Paragraph"/>
    <w:basedOn w:val="a"/>
    <w:uiPriority w:val="34"/>
    <w:qFormat/>
    <w:rsid w:val="00F93D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E1171-DB50-4A4A-9B8A-878298FA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wanlei mao</dc:creator>
  <cp:keywords/>
  <dc:description/>
  <cp:lastModifiedBy>lixianbao</cp:lastModifiedBy>
  <cp:revision>84</cp:revision>
  <dcterms:created xsi:type="dcterms:W3CDTF">2023-03-12T02:42:00Z</dcterms:created>
  <dcterms:modified xsi:type="dcterms:W3CDTF">2023-05-07T04:29:00Z</dcterms:modified>
</cp:coreProperties>
</file>